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C245" w14:textId="77777777" w:rsidR="001A58F3" w:rsidRPr="00F36560" w:rsidRDefault="001A58F3" w:rsidP="004E62E2">
      <w:pPr>
        <w:spacing w:line="360" w:lineRule="auto"/>
        <w:jc w:val="center"/>
        <w:rPr>
          <w:b/>
          <w:sz w:val="28"/>
          <w:szCs w:val="28"/>
        </w:rPr>
      </w:pPr>
    </w:p>
    <w:p w14:paraId="5367C246" w14:textId="77777777" w:rsidR="00F36560" w:rsidRDefault="00F36560" w:rsidP="004E62E2">
      <w:pPr>
        <w:spacing w:line="360" w:lineRule="auto"/>
        <w:jc w:val="center"/>
        <w:rPr>
          <w:b/>
          <w:sz w:val="28"/>
          <w:szCs w:val="28"/>
        </w:rPr>
      </w:pPr>
    </w:p>
    <w:p w14:paraId="5367C247" w14:textId="77777777" w:rsidR="00D5415E" w:rsidRDefault="00D5415E" w:rsidP="004E62E2">
      <w:pPr>
        <w:spacing w:line="360" w:lineRule="auto"/>
        <w:jc w:val="center"/>
        <w:rPr>
          <w:b/>
          <w:sz w:val="28"/>
          <w:szCs w:val="28"/>
        </w:rPr>
      </w:pPr>
    </w:p>
    <w:p w14:paraId="5367C248" w14:textId="77777777" w:rsidR="004E62E2" w:rsidRPr="00D5415E" w:rsidRDefault="008612BE" w:rsidP="004E62E2">
      <w:pPr>
        <w:spacing w:line="360" w:lineRule="auto"/>
        <w:jc w:val="center"/>
        <w:rPr>
          <w:b/>
          <w:sz w:val="28"/>
          <w:szCs w:val="28"/>
        </w:rPr>
      </w:pPr>
      <w:r>
        <w:rPr>
          <w:b/>
          <w:sz w:val="28"/>
          <w:szCs w:val="28"/>
        </w:rPr>
        <w:t>Projektförderung von</w:t>
      </w:r>
      <w:r w:rsidR="008A66DB">
        <w:rPr>
          <w:b/>
          <w:sz w:val="28"/>
          <w:szCs w:val="28"/>
        </w:rPr>
        <w:t xml:space="preserve"> Kinder- und Jugendtheatern 2023</w:t>
      </w:r>
    </w:p>
    <w:p w14:paraId="5367C249" w14:textId="77777777" w:rsidR="004E62E2" w:rsidRDefault="004E62E2" w:rsidP="004E62E2">
      <w:pPr>
        <w:spacing w:line="360" w:lineRule="auto"/>
      </w:pPr>
    </w:p>
    <w:p w14:paraId="5367C24A" w14:textId="77777777" w:rsidR="00834B95" w:rsidRDefault="00834B95" w:rsidP="004E62E2">
      <w:pPr>
        <w:spacing w:line="360" w:lineRule="auto"/>
      </w:pPr>
    </w:p>
    <w:p w14:paraId="5367C24B" w14:textId="77777777" w:rsidR="004E62E2" w:rsidRDefault="004E62E2" w:rsidP="004E62E2">
      <w:pPr>
        <w:spacing w:line="360" w:lineRule="auto"/>
      </w:pPr>
      <w:r>
        <w:t>Die Landesregierung stellt</w:t>
      </w:r>
      <w:r w:rsidR="00FF26F0">
        <w:t xml:space="preserve"> </w:t>
      </w:r>
      <w:r w:rsidR="008A66DB">
        <w:t>im Haushaltsjahr 2023</w:t>
      </w:r>
      <w:r w:rsidR="008612BE">
        <w:t xml:space="preserve"> erneut</w:t>
      </w:r>
      <w:r w:rsidR="000C1539">
        <w:t xml:space="preserve"> </w:t>
      </w:r>
      <w:r w:rsidR="008612BE">
        <w:t>zusätzliche Projektmittel für</w:t>
      </w:r>
      <w:r w:rsidR="00D5415E">
        <w:t xml:space="preserve"> </w:t>
      </w:r>
      <w:r w:rsidR="00133720">
        <w:t>Kinder- und Jugendtheater</w:t>
      </w:r>
      <w:r>
        <w:t xml:space="preserve"> bereit. </w:t>
      </w:r>
      <w:r w:rsidR="001A037D">
        <w:t>Die Mittel werden</w:t>
      </w:r>
      <w:r w:rsidR="008612BE">
        <w:t xml:space="preserve"> </w:t>
      </w:r>
      <w:r w:rsidR="009A1133">
        <w:t xml:space="preserve">anhand der nachstehenden Kriterien </w:t>
      </w:r>
      <w:r w:rsidR="008612BE">
        <w:t>aufgrund einer Jury-Entscheidung</w:t>
      </w:r>
      <w:r w:rsidR="001A037D">
        <w:t xml:space="preserve"> vergeben</w:t>
      </w:r>
      <w:r w:rsidR="008612BE">
        <w:t xml:space="preserve">. </w:t>
      </w:r>
      <w:r>
        <w:t xml:space="preserve">Die </w:t>
      </w:r>
      <w:r w:rsidR="00E071EA">
        <w:t>Gewährung</w:t>
      </w:r>
      <w:r>
        <w:t xml:space="preserve"> </w:t>
      </w:r>
      <w:r w:rsidR="00E071EA">
        <w:t>der Projektförderung</w:t>
      </w:r>
      <w:r w:rsidR="009A1133">
        <w:t>en</w:t>
      </w:r>
      <w:r w:rsidR="00E071EA">
        <w:t xml:space="preserve"> </w:t>
      </w:r>
      <w:r>
        <w:t xml:space="preserve">erfolgt </w:t>
      </w:r>
      <w:r w:rsidR="00E071EA">
        <w:t xml:space="preserve">im Rahmen der verfügbaren Haushaltsmittel nach Maßgabe der §§ 23 und 44 der Landeshaushaltsordnung für Baden-Württemberg und der Verwaltungsvorschriften </w:t>
      </w:r>
      <w:r w:rsidR="000570B6">
        <w:t xml:space="preserve">hierzu </w:t>
      </w:r>
      <w:r w:rsidR="00E071EA">
        <w:t>(VV</w:t>
      </w:r>
      <w:r w:rsidR="000570B6">
        <w:t>-LHO</w:t>
      </w:r>
      <w:r w:rsidR="00E071EA">
        <w:t>)</w:t>
      </w:r>
      <w:r w:rsidR="00D5415E">
        <w:t>.</w:t>
      </w:r>
    </w:p>
    <w:p w14:paraId="5367C24C" w14:textId="77777777" w:rsidR="004E62E2" w:rsidRDefault="004E62E2" w:rsidP="004E62E2">
      <w:pPr>
        <w:spacing w:line="360" w:lineRule="auto"/>
      </w:pPr>
    </w:p>
    <w:p w14:paraId="5367C24D" w14:textId="77777777" w:rsidR="002919D8" w:rsidRDefault="002919D8" w:rsidP="002919D8">
      <w:pPr>
        <w:spacing w:line="360" w:lineRule="auto"/>
        <w:rPr>
          <w:b/>
          <w:u w:val="single"/>
        </w:rPr>
      </w:pPr>
      <w:r>
        <w:rPr>
          <w:b/>
          <w:u w:val="single"/>
        </w:rPr>
        <w:t xml:space="preserve">1. </w:t>
      </w:r>
      <w:r w:rsidRPr="003A5D40">
        <w:rPr>
          <w:b/>
          <w:u w:val="single"/>
        </w:rPr>
        <w:t>Förderzweck und -kriterien</w:t>
      </w:r>
    </w:p>
    <w:p w14:paraId="5367C24E" w14:textId="77777777" w:rsidR="002919D8" w:rsidRPr="003A5D40" w:rsidRDefault="002919D8" w:rsidP="002919D8">
      <w:pPr>
        <w:spacing w:line="360" w:lineRule="auto"/>
      </w:pPr>
    </w:p>
    <w:p w14:paraId="5367C24F" w14:textId="77777777" w:rsidR="002919D8" w:rsidRDefault="002919D8" w:rsidP="002919D8">
      <w:pPr>
        <w:spacing w:line="360" w:lineRule="auto"/>
      </w:pPr>
      <w:r>
        <w:t xml:space="preserve">Das Programm unterstützt nicht den laufenden Spielbetrieb eines Theaters, </w:t>
      </w:r>
      <w:r w:rsidRPr="004D13DF">
        <w:t xml:space="preserve">sondern </w:t>
      </w:r>
      <w:r>
        <w:t xml:space="preserve">fördert herausragende Projekte, die folgende Kriterien berücksichtigen: </w:t>
      </w:r>
    </w:p>
    <w:p w14:paraId="5367C250" w14:textId="77777777" w:rsidR="00BA0AD1" w:rsidRDefault="001A1EFA" w:rsidP="00BA0AD1">
      <w:pPr>
        <w:pStyle w:val="Listenabsatz"/>
        <w:numPr>
          <w:ilvl w:val="0"/>
          <w:numId w:val="11"/>
        </w:numPr>
        <w:spacing w:line="360" w:lineRule="auto"/>
      </w:pPr>
      <w:r>
        <w:t>Projekte und Inszenierungen, die die Entwicklung</w:t>
      </w:r>
      <w:r w:rsidR="00BA0AD1">
        <w:t xml:space="preserve"> des Kinder- und Jugendtheaters im Hinblick auf spartenübergreifendes Arbeiten und neue Formate voranbringen.</w:t>
      </w:r>
    </w:p>
    <w:p w14:paraId="5367C251" w14:textId="77777777" w:rsidR="00BA0AD1" w:rsidRDefault="00BA0AD1" w:rsidP="00554ABD">
      <w:pPr>
        <w:pStyle w:val="Listenabsatz"/>
        <w:numPr>
          <w:ilvl w:val="0"/>
          <w:numId w:val="12"/>
        </w:numPr>
        <w:spacing w:line="360" w:lineRule="auto"/>
      </w:pPr>
      <w:r>
        <w:t>Förderung von spartenübergreifenden Kooperationen</w:t>
      </w:r>
    </w:p>
    <w:p w14:paraId="5367C252" w14:textId="77777777" w:rsidR="00BA0AD1" w:rsidRDefault="00BA0AD1" w:rsidP="00554ABD">
      <w:pPr>
        <w:pStyle w:val="Listenabsatz"/>
        <w:numPr>
          <w:ilvl w:val="0"/>
          <w:numId w:val="12"/>
        </w:numPr>
        <w:spacing w:line="360" w:lineRule="auto"/>
      </w:pPr>
      <w:r>
        <w:t>Vergabe von Auftragsarbeiten (z. B. an Autoren, Komponisten oder Choreographen)</w:t>
      </w:r>
    </w:p>
    <w:p w14:paraId="5367C253" w14:textId="77777777" w:rsidR="00BA0AD1" w:rsidRDefault="00BA0AD1" w:rsidP="00554ABD">
      <w:pPr>
        <w:pStyle w:val="Listenabsatz"/>
        <w:numPr>
          <w:ilvl w:val="0"/>
          <w:numId w:val="12"/>
        </w:numPr>
        <w:spacing w:line="360" w:lineRule="auto"/>
      </w:pPr>
      <w:r>
        <w:t>Engagement von spezifischem Personal wie Gastmusikern, Gasttänzern, Videokünstlern, Figurenspielern für einzelne Produktionen, die normalerweise nicht zum Personalstamm der Kinder- und Jugendtheater gehören.</w:t>
      </w:r>
    </w:p>
    <w:p w14:paraId="5367C254" w14:textId="77777777" w:rsidR="00BA0AD1" w:rsidRDefault="00BA0AD1" w:rsidP="00554ABD">
      <w:pPr>
        <w:pStyle w:val="Listenabsatz"/>
        <w:numPr>
          <w:ilvl w:val="0"/>
          <w:numId w:val="12"/>
        </w:numPr>
        <w:spacing w:line="360" w:lineRule="auto"/>
      </w:pPr>
      <w:r>
        <w:t>Förderung von Projekten, in denen innovative Formate entwickelt werden: Crossover-Projekte</w:t>
      </w:r>
      <w:r w:rsidR="00554ABD">
        <w:t>, performatives Theater, Theater im öffentlichen Raum (dabei ist auch die Förderung von Teilaspekten einer Inszenierung möglich).</w:t>
      </w:r>
      <w:r w:rsidR="00554ABD">
        <w:br/>
      </w:r>
    </w:p>
    <w:p w14:paraId="5367C255" w14:textId="77777777" w:rsidR="001A1EFA" w:rsidRDefault="00BA0AD1" w:rsidP="00BA0AD1">
      <w:pPr>
        <w:pStyle w:val="Listenabsatz"/>
        <w:numPr>
          <w:ilvl w:val="0"/>
          <w:numId w:val="11"/>
        </w:numPr>
        <w:spacing w:line="360" w:lineRule="auto"/>
      </w:pPr>
      <w:r>
        <w:t>Projekte, die zur Weiterentwicklung der partizipativen Arbeit an den Theatern beitragen. Ziel ist die Entwicklung innovativer partizipativer Formate, die für eine Aufführung im Repertoirebetrieb geeignet sind.</w:t>
      </w:r>
    </w:p>
    <w:p w14:paraId="5367C257" w14:textId="77777777" w:rsidR="002919D8" w:rsidRDefault="002919D8" w:rsidP="002919D8">
      <w:pPr>
        <w:pStyle w:val="Listenabsatz"/>
        <w:numPr>
          <w:ilvl w:val="0"/>
          <w:numId w:val="11"/>
        </w:numPr>
        <w:spacing w:line="360" w:lineRule="auto"/>
        <w:rPr>
          <w:szCs w:val="20"/>
        </w:rPr>
      </w:pPr>
      <w:r w:rsidRPr="00A233AC">
        <w:rPr>
          <w:szCs w:val="20"/>
        </w:rPr>
        <w:lastRenderedPageBreak/>
        <w:t>Internationale Kooperationsprojekte, das heißt zum Beispiel Koproduktionen, Austausch von künstlerischem Personal oder Austauschgastspiele</w:t>
      </w:r>
      <w:r>
        <w:rPr>
          <w:szCs w:val="20"/>
        </w:rPr>
        <w:t>.</w:t>
      </w:r>
    </w:p>
    <w:p w14:paraId="5367C258" w14:textId="77777777" w:rsidR="002919D8" w:rsidRDefault="002919D8" w:rsidP="002919D8">
      <w:pPr>
        <w:tabs>
          <w:tab w:val="clear" w:pos="851"/>
        </w:tabs>
        <w:spacing w:line="360" w:lineRule="auto"/>
      </w:pPr>
    </w:p>
    <w:p w14:paraId="5367C259" w14:textId="77777777" w:rsidR="001E7FE3" w:rsidRPr="001449C9" w:rsidRDefault="001449C9" w:rsidP="001E7FE3">
      <w:pPr>
        <w:spacing w:line="360" w:lineRule="auto"/>
        <w:rPr>
          <w:b/>
        </w:rPr>
      </w:pPr>
      <w:r w:rsidRPr="001449C9">
        <w:rPr>
          <w:b/>
        </w:rPr>
        <w:t xml:space="preserve">Aus den Anträgen, die mindestens eines der genannten Kriterien erfüllen müssen, soll sich neben </w:t>
      </w:r>
      <w:r>
        <w:rPr>
          <w:b/>
        </w:rPr>
        <w:t>der</w:t>
      </w:r>
      <w:r w:rsidRPr="001449C9">
        <w:rPr>
          <w:b/>
        </w:rPr>
        <w:t xml:space="preserve"> präzisen inhaltlichen Darstellung, der künstlerischen Zielsetzung und Arbeitsweise sowie der Begründung der Fördernotwendigkeit auch konkret ergeben, wie und mit wem – d. h. mit welchen Künstlerinnen und Künstlern und weiteren Beteiligten (Kurzbiographien) – ein Projekt umgesetzt werden soll.</w:t>
      </w:r>
    </w:p>
    <w:p w14:paraId="5367C25A" w14:textId="77777777" w:rsidR="001A1EFA" w:rsidRDefault="001A1EFA" w:rsidP="00A233AC">
      <w:pPr>
        <w:spacing w:line="360" w:lineRule="auto"/>
      </w:pPr>
    </w:p>
    <w:p w14:paraId="5367C25B" w14:textId="77777777" w:rsidR="004E62E2" w:rsidRDefault="002919D8" w:rsidP="004E62E2">
      <w:pPr>
        <w:spacing w:line="360" w:lineRule="auto"/>
        <w:rPr>
          <w:b/>
          <w:u w:val="single"/>
        </w:rPr>
      </w:pPr>
      <w:r>
        <w:rPr>
          <w:b/>
          <w:u w:val="single"/>
        </w:rPr>
        <w:t>2</w:t>
      </w:r>
      <w:r w:rsidR="0006052F">
        <w:rPr>
          <w:b/>
          <w:u w:val="single"/>
        </w:rPr>
        <w:t xml:space="preserve">. </w:t>
      </w:r>
      <w:r w:rsidR="004E62E2" w:rsidRPr="003A5D40">
        <w:rPr>
          <w:b/>
          <w:u w:val="single"/>
        </w:rPr>
        <w:t>Förderumfang</w:t>
      </w:r>
    </w:p>
    <w:p w14:paraId="5367C25C" w14:textId="77777777" w:rsidR="0006052F" w:rsidRDefault="00D060D3" w:rsidP="00834B95">
      <w:pPr>
        <w:spacing w:line="360" w:lineRule="auto"/>
        <w:rPr>
          <w:szCs w:val="20"/>
        </w:rPr>
      </w:pPr>
      <w:r>
        <w:rPr>
          <w:szCs w:val="20"/>
        </w:rPr>
        <w:t>Im Kosten- und Finanzierungsplan können nur die Ausgaben geltend gemacht werden, die bis zum Zeitpunkt der Premiere einer Produktion anfallen. Aufwendungen im Zusammenhang mit Folgeaufführungen sind nicht zuwendungsfähig.</w:t>
      </w:r>
      <w:r w:rsidR="00D80057">
        <w:rPr>
          <w:szCs w:val="20"/>
        </w:rPr>
        <w:t xml:space="preserve"> Die zuwendungsfähigen Ausgaben umfassen Personalkosten, Honorare,</w:t>
      </w:r>
      <w:r w:rsidR="00B25799">
        <w:rPr>
          <w:szCs w:val="20"/>
        </w:rPr>
        <w:t xml:space="preserve"> Beiträge zur Künstlersozialkasse, sozialversicherungspflichtige Abgaben,</w:t>
      </w:r>
      <w:r w:rsidR="00D80057">
        <w:rPr>
          <w:szCs w:val="20"/>
        </w:rPr>
        <w:t xml:space="preserve"> </w:t>
      </w:r>
      <w:r w:rsidR="008D3304">
        <w:rPr>
          <w:szCs w:val="20"/>
        </w:rPr>
        <w:t>Mietk</w:t>
      </w:r>
      <w:r w:rsidR="00D80057">
        <w:rPr>
          <w:szCs w:val="20"/>
        </w:rPr>
        <w:t xml:space="preserve">osten für technische Ausrüstung, weitere Material- und Sachkosten, </w:t>
      </w:r>
      <w:r w:rsidR="00B25799">
        <w:rPr>
          <w:szCs w:val="20"/>
        </w:rPr>
        <w:t xml:space="preserve">GEMA/Tantiemen, </w:t>
      </w:r>
      <w:r w:rsidR="00D80057">
        <w:rPr>
          <w:szCs w:val="20"/>
        </w:rPr>
        <w:t>Dienstleistungen Dritter</w:t>
      </w:r>
      <w:r w:rsidR="00B25799">
        <w:rPr>
          <w:szCs w:val="20"/>
        </w:rPr>
        <w:t>, Werbung</w:t>
      </w:r>
      <w:r w:rsidR="00D80057">
        <w:rPr>
          <w:szCs w:val="20"/>
        </w:rPr>
        <w:t xml:space="preserve"> </w:t>
      </w:r>
      <w:proofErr w:type="gramStart"/>
      <w:r w:rsidR="00D80057">
        <w:rPr>
          <w:szCs w:val="20"/>
        </w:rPr>
        <w:t>etc..</w:t>
      </w:r>
      <w:proofErr w:type="gramEnd"/>
    </w:p>
    <w:p w14:paraId="5367C25D" w14:textId="77777777" w:rsidR="00D10B7E" w:rsidRDefault="00D10B7E" w:rsidP="00834B95">
      <w:pPr>
        <w:spacing w:line="360" w:lineRule="auto"/>
        <w:rPr>
          <w:szCs w:val="20"/>
        </w:rPr>
      </w:pPr>
    </w:p>
    <w:p w14:paraId="5367C25E" w14:textId="77777777" w:rsidR="00D10B7E" w:rsidRDefault="00113875" w:rsidP="00834B95">
      <w:pPr>
        <w:spacing w:line="360" w:lineRule="auto"/>
        <w:rPr>
          <w:szCs w:val="20"/>
        </w:rPr>
      </w:pPr>
      <w:r>
        <w:rPr>
          <w:szCs w:val="20"/>
        </w:rPr>
        <w:t>Um die besonderen Anforderungen von Freiberuflichkeit zu berücksichtigen und das wichtige Anliegen nach einer angemessenen Bezahlung und fair kalkulierten Honoraren zu unterstützen, ist b</w:t>
      </w:r>
      <w:r w:rsidR="00D10B7E">
        <w:rPr>
          <w:szCs w:val="20"/>
        </w:rPr>
        <w:t>ei</w:t>
      </w:r>
      <w:r w:rsidR="006F0D6A">
        <w:rPr>
          <w:szCs w:val="20"/>
        </w:rPr>
        <w:t>m</w:t>
      </w:r>
      <w:r w:rsidR="00D10B7E">
        <w:rPr>
          <w:szCs w:val="20"/>
        </w:rPr>
        <w:t xml:space="preserve"> </w:t>
      </w:r>
      <w:r w:rsidR="006F0D6A">
        <w:rPr>
          <w:szCs w:val="20"/>
        </w:rPr>
        <w:t>Engagement von freiberuflichen Künstlerinnen und Künstlern</w:t>
      </w:r>
      <w:r w:rsidR="00CD55E9">
        <w:rPr>
          <w:szCs w:val="20"/>
        </w:rPr>
        <w:t xml:space="preserve"> die Empfehlung des Bundesverbandes Freie Darstellende Künste (BFDK) zu</w:t>
      </w:r>
      <w:r>
        <w:rPr>
          <w:szCs w:val="20"/>
        </w:rPr>
        <w:t>r</w:t>
      </w:r>
      <w:r w:rsidR="00CD55E9">
        <w:rPr>
          <w:szCs w:val="20"/>
        </w:rPr>
        <w:t xml:space="preserve"> </w:t>
      </w:r>
      <w:r>
        <w:rPr>
          <w:szCs w:val="20"/>
        </w:rPr>
        <w:t xml:space="preserve">Honoraruntergrenze zu </w:t>
      </w:r>
      <w:r w:rsidR="00CD55E9">
        <w:rPr>
          <w:szCs w:val="20"/>
        </w:rPr>
        <w:t>beachten.</w:t>
      </w:r>
    </w:p>
    <w:p w14:paraId="5367C25F" w14:textId="77777777" w:rsidR="0006052F" w:rsidRDefault="0006052F" w:rsidP="00834B95">
      <w:pPr>
        <w:spacing w:line="360" w:lineRule="auto"/>
        <w:rPr>
          <w:szCs w:val="20"/>
        </w:rPr>
      </w:pPr>
    </w:p>
    <w:p w14:paraId="5367C260" w14:textId="77777777" w:rsidR="0006052F" w:rsidRDefault="0006052F" w:rsidP="0006052F">
      <w:pPr>
        <w:spacing w:line="360" w:lineRule="auto"/>
        <w:rPr>
          <w:szCs w:val="20"/>
        </w:rPr>
      </w:pPr>
      <w:r>
        <w:rPr>
          <w:szCs w:val="20"/>
        </w:rPr>
        <w:t>Die nach § 15 des UStG als Vorsteuer abziehbare Umsatzsteuer ist nicht zuwendungsfähig.</w:t>
      </w:r>
    </w:p>
    <w:p w14:paraId="5367C261" w14:textId="77777777" w:rsidR="0006052F" w:rsidRDefault="0006052F" w:rsidP="00834B95">
      <w:pPr>
        <w:spacing w:line="360" w:lineRule="auto"/>
        <w:rPr>
          <w:szCs w:val="20"/>
        </w:rPr>
      </w:pPr>
    </w:p>
    <w:p w14:paraId="5367C262" w14:textId="77777777" w:rsidR="00D060D3" w:rsidRDefault="00B25799" w:rsidP="00834B95">
      <w:pPr>
        <w:spacing w:line="360" w:lineRule="auto"/>
        <w:rPr>
          <w:szCs w:val="20"/>
        </w:rPr>
      </w:pPr>
      <w:r>
        <w:rPr>
          <w:szCs w:val="20"/>
        </w:rPr>
        <w:t>Eigenleistungen bzw.</w:t>
      </w:r>
      <w:r w:rsidRPr="00B25799">
        <w:rPr>
          <w:szCs w:val="20"/>
        </w:rPr>
        <w:t xml:space="preserve"> unbare Eigenmittel (z.</w:t>
      </w:r>
      <w:r>
        <w:rPr>
          <w:szCs w:val="20"/>
        </w:rPr>
        <w:t xml:space="preserve"> </w:t>
      </w:r>
      <w:r w:rsidR="008D3304">
        <w:rPr>
          <w:szCs w:val="20"/>
        </w:rPr>
        <w:t>B. Einsatz von laufend</w:t>
      </w:r>
      <w:r w:rsidRPr="00B25799">
        <w:rPr>
          <w:szCs w:val="20"/>
        </w:rPr>
        <w:t xml:space="preserve"> beschäftigtem Personal, Sachleistungen, Raum-</w:t>
      </w:r>
      <w:r>
        <w:rPr>
          <w:szCs w:val="20"/>
        </w:rPr>
        <w:t xml:space="preserve"> und Techniküberlassungen etc.)</w:t>
      </w:r>
      <w:r w:rsidRPr="00B25799">
        <w:rPr>
          <w:szCs w:val="20"/>
        </w:rPr>
        <w:t xml:space="preserve"> sind nicht Bestandteil </w:t>
      </w:r>
      <w:r>
        <w:rPr>
          <w:szCs w:val="20"/>
        </w:rPr>
        <w:t>des</w:t>
      </w:r>
      <w:r w:rsidRPr="00B25799">
        <w:rPr>
          <w:szCs w:val="20"/>
        </w:rPr>
        <w:t xml:space="preserve"> </w:t>
      </w:r>
      <w:r>
        <w:rPr>
          <w:szCs w:val="20"/>
        </w:rPr>
        <w:t>Kosten- und Finanzierungsplans</w:t>
      </w:r>
      <w:r w:rsidRPr="00B25799">
        <w:rPr>
          <w:szCs w:val="20"/>
        </w:rPr>
        <w:t xml:space="preserve">, wenn diese Kosten bereits über die institutionelle Förderung </w:t>
      </w:r>
      <w:r w:rsidR="000124E3">
        <w:rPr>
          <w:szCs w:val="20"/>
        </w:rPr>
        <w:t xml:space="preserve">der Einrichtung </w:t>
      </w:r>
      <w:r w:rsidRPr="00B25799">
        <w:rPr>
          <w:szCs w:val="20"/>
        </w:rPr>
        <w:t xml:space="preserve">bezuschusst werden/wurden. Sie können </w:t>
      </w:r>
      <w:r w:rsidR="000124E3">
        <w:rPr>
          <w:szCs w:val="20"/>
        </w:rPr>
        <w:t>im Kosten- und Finanzierungsplan</w:t>
      </w:r>
      <w:r w:rsidRPr="00B25799">
        <w:rPr>
          <w:szCs w:val="20"/>
        </w:rPr>
        <w:t xml:space="preserve"> n</w:t>
      </w:r>
      <w:r w:rsidR="000124E3">
        <w:rPr>
          <w:szCs w:val="20"/>
        </w:rPr>
        <w:t>achrichtlich dargestellt werden</w:t>
      </w:r>
      <w:r w:rsidR="00ED12BB">
        <w:rPr>
          <w:szCs w:val="20"/>
        </w:rPr>
        <w:t xml:space="preserve"> (vgl. Ziff. 3 des Kosten- und Finanzierungsplans)</w:t>
      </w:r>
      <w:r w:rsidR="000124E3">
        <w:rPr>
          <w:szCs w:val="20"/>
        </w:rPr>
        <w:t>.</w:t>
      </w:r>
    </w:p>
    <w:p w14:paraId="5367C263" w14:textId="77777777" w:rsidR="00832F8E" w:rsidRDefault="00472DF6" w:rsidP="00834B95">
      <w:pPr>
        <w:spacing w:line="360" w:lineRule="auto"/>
      </w:pPr>
      <w:r>
        <w:t xml:space="preserve">Die </w:t>
      </w:r>
      <w:r w:rsidR="00D80057">
        <w:t>Förderobergrenze</w:t>
      </w:r>
      <w:r>
        <w:t xml:space="preserve"> beträgt pro </w:t>
      </w:r>
      <w:r w:rsidR="00D80057">
        <w:t>Einzelantrag und Einrichtung</w:t>
      </w:r>
      <w:r w:rsidR="00947CB2">
        <w:t xml:space="preserve"> maximal </w:t>
      </w:r>
      <w:r w:rsidR="00D80057">
        <w:t>30.000</w:t>
      </w:r>
      <w:r w:rsidR="0006052F">
        <w:t xml:space="preserve"> EUR.</w:t>
      </w:r>
    </w:p>
    <w:p w14:paraId="5367C265" w14:textId="77777777" w:rsidR="0006052F" w:rsidRDefault="0006052F" w:rsidP="00834B95">
      <w:pPr>
        <w:spacing w:line="360" w:lineRule="auto"/>
      </w:pPr>
      <w:r>
        <w:lastRenderedPageBreak/>
        <w:t>Eine Mitfinanzierung aus kommunalen Mitteln ist anzustreben. Bei Projekten in Zusammenarbeit mit anderen Trägern (z. B. Schulen oder Vereinen) sollten sich diese auch finanziell beteiligen, zumindest in Form von (unbaren) Eigenleistungen.</w:t>
      </w:r>
    </w:p>
    <w:p w14:paraId="5367C266" w14:textId="77777777" w:rsidR="00947CB2" w:rsidRPr="003A5D40" w:rsidRDefault="00947CB2" w:rsidP="004E62E2">
      <w:pPr>
        <w:spacing w:line="360" w:lineRule="auto"/>
      </w:pPr>
    </w:p>
    <w:p w14:paraId="5367C267" w14:textId="77777777" w:rsidR="00733F6E" w:rsidRDefault="00733F6E" w:rsidP="00733F6E">
      <w:pPr>
        <w:spacing w:line="360" w:lineRule="auto"/>
      </w:pPr>
      <w:r>
        <w:t xml:space="preserve">Eine gleichzeitige Förderung </w:t>
      </w:r>
      <w:r w:rsidR="00947CB2">
        <w:t>des Projekts</w:t>
      </w:r>
      <w:r>
        <w:t xml:space="preserve"> aus </w:t>
      </w:r>
      <w:r w:rsidR="00141307">
        <w:t>anderen Landesmitteln</w:t>
      </w:r>
      <w:r>
        <w:rPr>
          <w:color w:val="FF0000"/>
        </w:rPr>
        <w:t xml:space="preserve"> </w:t>
      </w:r>
      <w:r>
        <w:t>ist unzulässig.</w:t>
      </w:r>
    </w:p>
    <w:p w14:paraId="5367C268" w14:textId="77777777" w:rsidR="000F64D4" w:rsidRDefault="000F64D4" w:rsidP="00733F6E">
      <w:pPr>
        <w:spacing w:line="360" w:lineRule="auto"/>
      </w:pPr>
    </w:p>
    <w:p w14:paraId="5367C269" w14:textId="77777777" w:rsidR="000F64D4" w:rsidRPr="001E7FE3" w:rsidRDefault="000F64D4" w:rsidP="000F64D4">
      <w:pPr>
        <w:spacing w:line="360" w:lineRule="auto"/>
        <w:rPr>
          <w:u w:val="single"/>
        </w:rPr>
      </w:pPr>
      <w:r w:rsidRPr="001E7FE3">
        <w:rPr>
          <w:u w:val="single"/>
        </w:rPr>
        <w:t xml:space="preserve">Ein Projekt, für das ein Förderantrag gestellt wird, darf vor Entscheidung der Jury weder in Online- noch in Printmedien angekündigt werden. Außerdem dürfen vor der Bewilligung von Landesmitteln keine Verträge abgeschlossen </w:t>
      </w:r>
      <w:r>
        <w:rPr>
          <w:u w:val="single"/>
        </w:rPr>
        <w:t xml:space="preserve">oder Aufträge erteilt </w:t>
      </w:r>
      <w:r w:rsidRPr="001E7FE3">
        <w:rPr>
          <w:u w:val="single"/>
        </w:rPr>
        <w:t>werden.</w:t>
      </w:r>
    </w:p>
    <w:p w14:paraId="5367C26A" w14:textId="77777777" w:rsidR="00A8393D" w:rsidRDefault="00A8393D" w:rsidP="004E62E2">
      <w:pPr>
        <w:tabs>
          <w:tab w:val="clear" w:pos="851"/>
          <w:tab w:val="left" w:pos="284"/>
        </w:tabs>
        <w:spacing w:line="360" w:lineRule="auto"/>
        <w:rPr>
          <w:u w:val="single"/>
        </w:rPr>
      </w:pPr>
    </w:p>
    <w:p w14:paraId="5367C26B" w14:textId="77777777" w:rsidR="00834B95" w:rsidRPr="004B371D" w:rsidRDefault="002919D8" w:rsidP="00834B95">
      <w:pPr>
        <w:spacing w:line="360" w:lineRule="auto"/>
        <w:rPr>
          <w:b/>
          <w:u w:val="single"/>
        </w:rPr>
      </w:pPr>
      <w:r>
        <w:rPr>
          <w:b/>
          <w:u w:val="single"/>
        </w:rPr>
        <w:t>3</w:t>
      </w:r>
      <w:r w:rsidR="0006052F">
        <w:rPr>
          <w:b/>
          <w:u w:val="single"/>
        </w:rPr>
        <w:t xml:space="preserve">. </w:t>
      </w:r>
      <w:r w:rsidR="00834B95" w:rsidRPr="004B371D">
        <w:rPr>
          <w:b/>
          <w:u w:val="single"/>
        </w:rPr>
        <w:t>Projektlaufzeit</w:t>
      </w:r>
    </w:p>
    <w:p w14:paraId="5367C26C" w14:textId="77777777" w:rsidR="00834B95" w:rsidRDefault="001E7FE3" w:rsidP="00834B95">
      <w:pPr>
        <w:spacing w:line="360" w:lineRule="auto"/>
      </w:pPr>
      <w:r>
        <w:t>Ein beantragtes Projekt</w:t>
      </w:r>
      <w:r w:rsidR="0006052F">
        <w:t xml:space="preserve"> </w:t>
      </w:r>
      <w:r>
        <w:t>darf</w:t>
      </w:r>
      <w:r w:rsidR="00834B95">
        <w:t xml:space="preserve"> frühestens am </w:t>
      </w:r>
      <w:r w:rsidRPr="006563EC">
        <w:t>1</w:t>
      </w:r>
      <w:r w:rsidR="00834B95" w:rsidRPr="006563EC">
        <w:t xml:space="preserve">. </w:t>
      </w:r>
      <w:r w:rsidR="00C9324D" w:rsidRPr="006563EC">
        <w:t>September</w:t>
      </w:r>
      <w:r w:rsidR="000F64D4" w:rsidRPr="006563EC">
        <w:t xml:space="preserve"> 2023</w:t>
      </w:r>
      <w:r w:rsidRPr="006563EC">
        <w:t xml:space="preserve"> </w:t>
      </w:r>
      <w:r w:rsidR="00834B95" w:rsidRPr="006563EC">
        <w:t xml:space="preserve">beginnen. Es </w:t>
      </w:r>
      <w:r w:rsidR="000F64D4" w:rsidRPr="006563EC">
        <w:t>muss im Jahr 2023</w:t>
      </w:r>
      <w:r w:rsidR="00834B95" w:rsidRPr="006563EC">
        <w:t xml:space="preserve"> begonnen werden und sollte bis spätestens 3</w:t>
      </w:r>
      <w:r w:rsidRPr="006563EC">
        <w:t>1</w:t>
      </w:r>
      <w:r w:rsidR="00834B95" w:rsidRPr="006563EC">
        <w:t xml:space="preserve">. </w:t>
      </w:r>
      <w:r w:rsidR="00C9324D" w:rsidRPr="006563EC">
        <w:t>Dezember</w:t>
      </w:r>
      <w:r w:rsidR="000F64D4" w:rsidRPr="006563EC">
        <w:t xml:space="preserve"> 2024</w:t>
      </w:r>
      <w:r w:rsidR="00834B95" w:rsidRPr="006563EC">
        <w:t xml:space="preserve"> beendet</w:t>
      </w:r>
      <w:r w:rsidR="00834B95" w:rsidRPr="004B371D">
        <w:t xml:space="preserve"> sein</w:t>
      </w:r>
      <w:r w:rsidR="001B6F5C">
        <w:t xml:space="preserve"> (= </w:t>
      </w:r>
      <w:r w:rsidR="00113875">
        <w:t>Premiere hat stattgefunden)</w:t>
      </w:r>
      <w:r w:rsidR="00834B95" w:rsidRPr="004B371D">
        <w:t>.</w:t>
      </w:r>
      <w:r w:rsidR="00834B95">
        <w:t xml:space="preserve"> </w:t>
      </w:r>
    </w:p>
    <w:p w14:paraId="5367C26D" w14:textId="77777777" w:rsidR="00834B95" w:rsidRDefault="00834B95" w:rsidP="004E62E2">
      <w:pPr>
        <w:tabs>
          <w:tab w:val="clear" w:pos="851"/>
          <w:tab w:val="left" w:pos="284"/>
        </w:tabs>
        <w:spacing w:line="360" w:lineRule="auto"/>
        <w:rPr>
          <w:u w:val="single"/>
        </w:rPr>
      </w:pPr>
    </w:p>
    <w:p w14:paraId="5367C26E" w14:textId="77777777" w:rsidR="004E62E2" w:rsidRDefault="002919D8" w:rsidP="004E62E2">
      <w:pPr>
        <w:spacing w:line="360" w:lineRule="auto"/>
        <w:rPr>
          <w:b/>
          <w:u w:val="single"/>
        </w:rPr>
      </w:pPr>
      <w:r>
        <w:rPr>
          <w:b/>
          <w:u w:val="single"/>
        </w:rPr>
        <w:t>4</w:t>
      </w:r>
      <w:r w:rsidR="001449C9">
        <w:rPr>
          <w:b/>
          <w:u w:val="single"/>
        </w:rPr>
        <w:t xml:space="preserve">. </w:t>
      </w:r>
      <w:r w:rsidR="008D3304">
        <w:rPr>
          <w:b/>
          <w:u w:val="single"/>
        </w:rPr>
        <w:t>Antragsberechtigung</w:t>
      </w:r>
    </w:p>
    <w:p w14:paraId="5367C26F" w14:textId="77777777" w:rsidR="0043561C" w:rsidRPr="009C3A0F" w:rsidRDefault="00F9300F" w:rsidP="00F9300F">
      <w:pPr>
        <w:spacing w:line="360" w:lineRule="auto"/>
      </w:pPr>
      <w:r w:rsidRPr="009C3A0F">
        <w:t xml:space="preserve">Antragsberechtigt sind </w:t>
      </w:r>
    </w:p>
    <w:p w14:paraId="5367C270" w14:textId="77777777" w:rsidR="00F9300F" w:rsidRPr="009C3A0F" w:rsidRDefault="00F9300F" w:rsidP="009C3A0F">
      <w:pPr>
        <w:pStyle w:val="Listenabsatz"/>
        <w:numPr>
          <w:ilvl w:val="0"/>
          <w:numId w:val="14"/>
        </w:numPr>
        <w:spacing w:line="360" w:lineRule="auto"/>
      </w:pPr>
      <w:r w:rsidRPr="009C3A0F">
        <w:t xml:space="preserve">die professionellen reinen Kinder- und Jugendtheater im Land, welche die Voraussetzungen der institutionellen Privattheaterförderung erfüllen, d.h. die seit mindestens fünf Jahren im Land ansässig sind, über eine eigene Spielstätte verfügen, eigene hauptberufliche Mitarbeiter beschäftigen, einen regelmäßigen öffentlichen Spielplan anbieten und seitens der Kommune laufend unterstützt werden, </w:t>
      </w:r>
    </w:p>
    <w:p w14:paraId="5367C271" w14:textId="77777777" w:rsidR="00F9300F" w:rsidRDefault="00F9300F" w:rsidP="009C3A0F">
      <w:pPr>
        <w:pStyle w:val="Listenabsatz"/>
        <w:numPr>
          <w:ilvl w:val="0"/>
          <w:numId w:val="14"/>
        </w:numPr>
        <w:spacing w:line="360" w:lineRule="auto"/>
      </w:pPr>
      <w:r w:rsidRPr="009C3A0F">
        <w:t>die Kinder- und Jugendtheatersparten an den Landesbühnen, K</w:t>
      </w:r>
      <w:r w:rsidR="009C3A0F">
        <w:t>ommunal- und Staats</w:t>
      </w:r>
      <w:r w:rsidRPr="009C3A0F">
        <w:t>theatern</w:t>
      </w:r>
      <w:r>
        <w:t xml:space="preserve"> </w:t>
      </w:r>
    </w:p>
    <w:p w14:paraId="5367C272" w14:textId="3A973C7E" w:rsidR="009C3A0F" w:rsidRDefault="009C3A0F" w:rsidP="009C3A0F">
      <w:pPr>
        <w:pStyle w:val="Listenabsatz"/>
        <w:numPr>
          <w:ilvl w:val="0"/>
          <w:numId w:val="14"/>
        </w:numPr>
        <w:spacing w:line="360" w:lineRule="auto"/>
      </w:pPr>
      <w:r>
        <w:t>die Mitgliedsbühnen des Arbeitskreises Junges Theater Baden-Württemberg.</w:t>
      </w:r>
    </w:p>
    <w:p w14:paraId="56F87E3F" w14:textId="77777777" w:rsidR="00E75320" w:rsidRDefault="00E75320" w:rsidP="00E75320">
      <w:pPr>
        <w:pStyle w:val="Listenabsatz"/>
        <w:spacing w:line="360" w:lineRule="auto"/>
      </w:pPr>
      <w:bookmarkStart w:id="0" w:name="_GoBack"/>
      <w:bookmarkEnd w:id="0"/>
    </w:p>
    <w:p w14:paraId="5367C273" w14:textId="77777777" w:rsidR="007500EF" w:rsidRDefault="009C3A0F" w:rsidP="009C3A0F">
      <w:pPr>
        <w:spacing w:line="360" w:lineRule="auto"/>
      </w:pPr>
      <w:r>
        <w:t xml:space="preserve">Die Antragsberechtigung ist </w:t>
      </w:r>
      <w:r w:rsidRPr="009C3A0F">
        <w:rPr>
          <w:u w:val="single"/>
        </w:rPr>
        <w:t>ausgeschlossen</w:t>
      </w:r>
      <w:r>
        <w:t>, sofern eine Einrichtung Fördermittel im Ra</w:t>
      </w:r>
      <w:r w:rsidR="006563EC">
        <w:t>hmen der „Projektförderung für p</w:t>
      </w:r>
      <w:r>
        <w:t>rofessionelle Privattheater 2023“ erhält.</w:t>
      </w:r>
    </w:p>
    <w:p w14:paraId="5367C275" w14:textId="6B5551E9" w:rsidR="006563EC" w:rsidRDefault="006563EC" w:rsidP="00DE7F09">
      <w:pPr>
        <w:tabs>
          <w:tab w:val="clear" w:pos="851"/>
          <w:tab w:val="left" w:pos="284"/>
        </w:tabs>
        <w:spacing w:line="360" w:lineRule="auto"/>
        <w:rPr>
          <w:b/>
          <w:u w:val="single"/>
        </w:rPr>
      </w:pPr>
    </w:p>
    <w:p w14:paraId="5367C276" w14:textId="77777777" w:rsidR="004E62E2" w:rsidRDefault="002919D8" w:rsidP="004E62E2">
      <w:pPr>
        <w:spacing w:line="360" w:lineRule="auto"/>
        <w:rPr>
          <w:b/>
          <w:u w:val="single"/>
        </w:rPr>
      </w:pPr>
      <w:r>
        <w:rPr>
          <w:b/>
          <w:u w:val="single"/>
        </w:rPr>
        <w:t>5</w:t>
      </w:r>
      <w:r w:rsidR="001449C9">
        <w:rPr>
          <w:b/>
          <w:u w:val="single"/>
        </w:rPr>
        <w:t xml:space="preserve">. </w:t>
      </w:r>
      <w:r w:rsidR="004E62E2" w:rsidRPr="003A5D40">
        <w:rPr>
          <w:b/>
          <w:u w:val="single"/>
        </w:rPr>
        <w:t>Mittelvergabe</w:t>
      </w:r>
    </w:p>
    <w:p w14:paraId="5367C277" w14:textId="77777777" w:rsidR="004E62E2" w:rsidRDefault="004E62E2" w:rsidP="004E62E2">
      <w:pPr>
        <w:spacing w:line="360" w:lineRule="auto"/>
      </w:pPr>
      <w:r>
        <w:t>Über die Vergabe der Mittel entscheidet das Ministerium für Wissenschaft, Forschung und Kunst</w:t>
      </w:r>
      <w:r w:rsidR="001E7FE3">
        <w:t xml:space="preserve"> Baden-Württemberg</w:t>
      </w:r>
      <w:r w:rsidR="00B40B58">
        <w:t xml:space="preserve"> </w:t>
      </w:r>
      <w:r w:rsidR="001449C9">
        <w:t xml:space="preserve">auf Vorschlag </w:t>
      </w:r>
      <w:r w:rsidR="00B40B58">
        <w:t xml:space="preserve">einer unabhängigen </w:t>
      </w:r>
      <w:r w:rsidR="001449C9">
        <w:t>Jury</w:t>
      </w:r>
      <w:r w:rsidR="00231C0D">
        <w:t>.</w:t>
      </w:r>
      <w:r w:rsidR="001449C9">
        <w:t xml:space="preserve"> Die dreiköpfige Fachjury wird vom Ministerium berufen.</w:t>
      </w:r>
    </w:p>
    <w:p w14:paraId="5367C278" w14:textId="77777777" w:rsidR="006B49DF" w:rsidRDefault="006B49DF" w:rsidP="004E62E2">
      <w:pPr>
        <w:spacing w:line="360" w:lineRule="auto"/>
      </w:pPr>
    </w:p>
    <w:p w14:paraId="5367C279" w14:textId="39E8BDF6" w:rsidR="004E62E2" w:rsidRDefault="002919D8" w:rsidP="004E62E2">
      <w:pPr>
        <w:spacing w:line="360" w:lineRule="auto"/>
        <w:rPr>
          <w:b/>
          <w:u w:val="single"/>
        </w:rPr>
      </w:pPr>
      <w:r>
        <w:rPr>
          <w:b/>
          <w:u w:val="single"/>
        </w:rPr>
        <w:t>6</w:t>
      </w:r>
      <w:r w:rsidR="001449C9">
        <w:rPr>
          <w:b/>
          <w:u w:val="single"/>
        </w:rPr>
        <w:t xml:space="preserve">. </w:t>
      </w:r>
      <w:r w:rsidR="004E62E2" w:rsidRPr="003A5D40">
        <w:rPr>
          <w:b/>
          <w:u w:val="single"/>
        </w:rPr>
        <w:t>Antragsverfahren</w:t>
      </w:r>
    </w:p>
    <w:p w14:paraId="5367C27A" w14:textId="77777777" w:rsidR="00F36560" w:rsidRPr="00E65474" w:rsidRDefault="00E65474" w:rsidP="00F36560">
      <w:pPr>
        <w:spacing w:line="360" w:lineRule="auto"/>
      </w:pPr>
      <w:r w:rsidRPr="00E65474">
        <w:t xml:space="preserve">Projektanträge sind </w:t>
      </w:r>
      <w:r w:rsidRPr="00C9324D">
        <w:rPr>
          <w:b/>
        </w:rPr>
        <w:t xml:space="preserve">bis zum </w:t>
      </w:r>
      <w:r w:rsidR="00C9324D" w:rsidRPr="00C9324D">
        <w:rPr>
          <w:b/>
        </w:rPr>
        <w:t>30</w:t>
      </w:r>
      <w:r w:rsidR="00C9324D">
        <w:rPr>
          <w:b/>
        </w:rPr>
        <w:t>. April</w:t>
      </w:r>
      <w:r w:rsidR="000F64D4">
        <w:rPr>
          <w:b/>
        </w:rPr>
        <w:t xml:space="preserve"> </w:t>
      </w:r>
      <w:r w:rsidR="00C9324D">
        <w:rPr>
          <w:b/>
        </w:rPr>
        <w:t>2023</w:t>
      </w:r>
      <w:r w:rsidRPr="00E65474">
        <w:rPr>
          <w:b/>
        </w:rPr>
        <w:t xml:space="preserve"> </w:t>
      </w:r>
      <w:r w:rsidR="00F36560">
        <w:t>elektronisch</w:t>
      </w:r>
      <w:r w:rsidRPr="00E65474">
        <w:t xml:space="preserve"> beim Ministerium für Wissenschaft, Fo</w:t>
      </w:r>
      <w:r w:rsidR="00F36560">
        <w:t>rschung und Kunst Baden-Württemberg einzureichen</w:t>
      </w:r>
      <w:r w:rsidR="001E7FE3">
        <w:t xml:space="preserve"> (unterzeichneter Antrag als </w:t>
      </w:r>
      <w:proofErr w:type="spellStart"/>
      <w:r w:rsidR="001E7FE3">
        <w:t>pdf</w:t>
      </w:r>
      <w:proofErr w:type="spellEnd"/>
      <w:r w:rsidR="001E7FE3">
        <w:t>, Kosten- und Finanzierungsplan als Excel-Datei)</w:t>
      </w:r>
      <w:r w:rsidR="00F36560">
        <w:t xml:space="preserve">. Vollständig ausgefüllte </w:t>
      </w:r>
      <w:r w:rsidR="001E7FE3">
        <w:t>Anträge</w:t>
      </w:r>
      <w:r w:rsidR="00F36560">
        <w:t xml:space="preserve"> sind per E-Mail an </w:t>
      </w:r>
      <w:hyperlink r:id="rId8" w:history="1">
        <w:r w:rsidR="00F36560" w:rsidRPr="00192B2E">
          <w:rPr>
            <w:rStyle w:val="Hyperlink"/>
          </w:rPr>
          <w:t>Barbara.Galinski@mwk.bwl.de</w:t>
        </w:r>
      </w:hyperlink>
      <w:r w:rsidR="00F36560">
        <w:t xml:space="preserve"> zur richten.</w:t>
      </w:r>
    </w:p>
    <w:p w14:paraId="5367C27B" w14:textId="77777777" w:rsidR="00E65474" w:rsidRPr="00E65474" w:rsidRDefault="00E65474" w:rsidP="00E65474">
      <w:pPr>
        <w:spacing w:line="360" w:lineRule="auto"/>
      </w:pPr>
    </w:p>
    <w:p w14:paraId="5367C27C" w14:textId="77777777" w:rsidR="00834B95" w:rsidRPr="00614156" w:rsidRDefault="00E65474" w:rsidP="00834B95">
      <w:pPr>
        <w:spacing w:line="360" w:lineRule="auto"/>
      </w:pPr>
      <w:r w:rsidRPr="00E65474">
        <w:t>Mit dem Einreichen eines Antrags</w:t>
      </w:r>
      <w:r w:rsidR="00F36560">
        <w:t xml:space="preserve"> willigt der Antragsteller</w:t>
      </w:r>
      <w:r w:rsidRPr="00E65474">
        <w:t xml:space="preserve"> </w:t>
      </w:r>
      <w:r w:rsidR="00F36560" w:rsidRPr="00F36560">
        <w:t xml:space="preserve">in die Verarbeitung der mit dem Antrag übermittelten personenbezogenen Daten zum Zweck der Kontaktaufnahme und der Bearbeitung des Antrags </w:t>
      </w:r>
      <w:r w:rsidR="00F36560">
        <w:t xml:space="preserve">durch das Ministerium für Wissenschaft, Forschung und Kunst Baden-Württemberg </w:t>
      </w:r>
      <w:r w:rsidR="00F36560" w:rsidRPr="00F36560">
        <w:t>auf Grundlage von Artikel 6 Absatz 1 DSGVO ein</w:t>
      </w:r>
      <w:r w:rsidR="00F36560">
        <w:t>.</w:t>
      </w:r>
      <w:r w:rsidR="001E7FE3">
        <w:t xml:space="preserve"> Die Einwilligung kann jederzeit widerrufen werden.</w:t>
      </w:r>
    </w:p>
    <w:sectPr w:rsidR="00834B95" w:rsidRPr="0061415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7C27F" w14:textId="77777777" w:rsidR="002F5444" w:rsidRDefault="002F5444" w:rsidP="00C80FEC">
      <w:r>
        <w:separator/>
      </w:r>
    </w:p>
  </w:endnote>
  <w:endnote w:type="continuationSeparator" w:id="0">
    <w:p w14:paraId="5367C280" w14:textId="77777777" w:rsidR="002F5444" w:rsidRDefault="002F5444" w:rsidP="00C8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5" w14:textId="77777777" w:rsidR="008A66DB" w:rsidRDefault="008A6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6" w14:textId="77777777" w:rsidR="008A66DB" w:rsidRDefault="008A66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8" w14:textId="77777777" w:rsidR="008A66DB" w:rsidRDefault="008A6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C27D" w14:textId="77777777" w:rsidR="002F5444" w:rsidRDefault="002F5444" w:rsidP="00C80FEC">
      <w:r>
        <w:separator/>
      </w:r>
    </w:p>
  </w:footnote>
  <w:footnote w:type="continuationSeparator" w:id="0">
    <w:p w14:paraId="5367C27E" w14:textId="77777777" w:rsidR="002F5444" w:rsidRDefault="002F5444" w:rsidP="00C8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1" w14:textId="77777777" w:rsidR="00AC5024" w:rsidRDefault="00AC5024">
    <w:pPr>
      <w:pStyle w:val="Kopfzeile"/>
      <w:framePr w:wrap="around" w:vAnchor="text" w:hAnchor="margin" w:xAlign="cente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14:paraId="5367C282" w14:textId="77777777" w:rsidR="00AC5024" w:rsidRDefault="00AC50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3" w14:textId="7B848646" w:rsidR="00AC5024" w:rsidRPr="004A3EA5" w:rsidRDefault="00AC5024">
    <w:pPr>
      <w:pStyle w:val="Kopfzeile"/>
      <w:framePr w:w="578" w:wrap="around" w:vAnchor="text" w:hAnchor="margin" w:xAlign="center" w:y="-2"/>
      <w:jc w:val="center"/>
      <w:rPr>
        <w:rStyle w:val="Seitenzahl"/>
        <w:sz w:val="20"/>
        <w:szCs w:val="20"/>
      </w:rPr>
    </w:pPr>
    <w:r w:rsidRPr="004A3EA5">
      <w:rPr>
        <w:rStyle w:val="Seitenzahl"/>
        <w:sz w:val="20"/>
        <w:szCs w:val="20"/>
      </w:rPr>
      <w:t xml:space="preserve">- </w:t>
    </w:r>
    <w:r w:rsidRPr="004A3EA5">
      <w:rPr>
        <w:rStyle w:val="Seitenzahl"/>
        <w:sz w:val="20"/>
        <w:szCs w:val="20"/>
      </w:rPr>
      <w:fldChar w:fldCharType="begin"/>
    </w:r>
    <w:r w:rsidRPr="004A3EA5">
      <w:rPr>
        <w:rStyle w:val="Seitenzahl"/>
        <w:sz w:val="20"/>
        <w:szCs w:val="20"/>
      </w:rPr>
      <w:instrText xml:space="preserve">PAGE  </w:instrText>
    </w:r>
    <w:r w:rsidRPr="004A3EA5">
      <w:rPr>
        <w:rStyle w:val="Seitenzahl"/>
        <w:sz w:val="20"/>
        <w:szCs w:val="20"/>
      </w:rPr>
      <w:fldChar w:fldCharType="separate"/>
    </w:r>
    <w:r w:rsidR="00E75320">
      <w:rPr>
        <w:rStyle w:val="Seitenzahl"/>
        <w:noProof/>
        <w:sz w:val="20"/>
        <w:szCs w:val="20"/>
      </w:rPr>
      <w:t>2</w:t>
    </w:r>
    <w:r w:rsidRPr="004A3EA5">
      <w:rPr>
        <w:rStyle w:val="Seitenzahl"/>
        <w:sz w:val="20"/>
        <w:szCs w:val="20"/>
      </w:rPr>
      <w:fldChar w:fldCharType="end"/>
    </w:r>
    <w:r w:rsidRPr="004A3EA5">
      <w:rPr>
        <w:rStyle w:val="Seitenzahl"/>
        <w:sz w:val="20"/>
        <w:szCs w:val="20"/>
      </w:rPr>
      <w:t xml:space="preserve"> -</w:t>
    </w:r>
  </w:p>
  <w:p w14:paraId="5367C284" w14:textId="77777777" w:rsidR="00AC5024" w:rsidRDefault="00AC50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287" w14:textId="77777777" w:rsidR="00F36560" w:rsidRDefault="00F36560">
    <w:pPr>
      <w:pStyle w:val="Kopfzeile"/>
    </w:pPr>
    <w:r>
      <w:rPr>
        <w:noProof/>
      </w:rPr>
      <w:tab/>
    </w:r>
    <w:r>
      <w:rPr>
        <w:noProof/>
      </w:rPr>
      <w:tab/>
    </w:r>
    <w:r w:rsidR="004750E0" w:rsidRPr="00BD459D">
      <w:rPr>
        <w:noProof/>
      </w:rPr>
      <w:drawing>
        <wp:inline distT="0" distB="0" distL="0" distR="0" wp14:anchorId="5367C289" wp14:editId="5367C28A">
          <wp:extent cx="2962275" cy="942975"/>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80A"/>
    <w:multiLevelType w:val="hybridMultilevel"/>
    <w:tmpl w:val="448C17AE"/>
    <w:lvl w:ilvl="0" w:tplc="D31088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349F9"/>
    <w:multiLevelType w:val="hybridMultilevel"/>
    <w:tmpl w:val="1E6ECFEE"/>
    <w:lvl w:ilvl="0" w:tplc="04070015">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3" w15:restartNumberingAfterBreak="0">
    <w:nsid w:val="0E1F6C2B"/>
    <w:multiLevelType w:val="hybridMultilevel"/>
    <w:tmpl w:val="F9B05A9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120063C"/>
    <w:multiLevelType w:val="hybridMultilevel"/>
    <w:tmpl w:val="56988BD0"/>
    <w:lvl w:ilvl="0" w:tplc="D31088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E62AB"/>
    <w:multiLevelType w:val="hybridMultilevel"/>
    <w:tmpl w:val="6E9E1E66"/>
    <w:lvl w:ilvl="0" w:tplc="D310885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D7FDE"/>
    <w:multiLevelType w:val="hybridMultilevel"/>
    <w:tmpl w:val="8C621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D7099"/>
    <w:multiLevelType w:val="hybridMultilevel"/>
    <w:tmpl w:val="BB8A3B1E"/>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48DD1544"/>
    <w:multiLevelType w:val="hybridMultilevel"/>
    <w:tmpl w:val="FF4E068C"/>
    <w:lvl w:ilvl="0" w:tplc="D14AA7B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5A316A"/>
    <w:multiLevelType w:val="hybridMultilevel"/>
    <w:tmpl w:val="CEE60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8"/>
  </w:num>
  <w:num w:numId="4">
    <w:abstractNumId w:val="13"/>
  </w:num>
  <w:num w:numId="5">
    <w:abstractNumId w:val="11"/>
  </w:num>
  <w:num w:numId="6">
    <w:abstractNumId w:val="0"/>
  </w:num>
  <w:num w:numId="7">
    <w:abstractNumId w:val="4"/>
  </w:num>
  <w:num w:numId="8">
    <w:abstractNumId w:val="5"/>
  </w:num>
  <w:num w:numId="9">
    <w:abstractNumId w:val="1"/>
  </w:num>
  <w:num w:numId="10">
    <w:abstractNumId w:val="9"/>
  </w:num>
  <w:num w:numId="11">
    <w:abstractNumId w:val="10"/>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E2"/>
    <w:rsid w:val="000124E3"/>
    <w:rsid w:val="00012C11"/>
    <w:rsid w:val="000139A7"/>
    <w:rsid w:val="00016AD3"/>
    <w:rsid w:val="00016E8D"/>
    <w:rsid w:val="0004121D"/>
    <w:rsid w:val="000570B6"/>
    <w:rsid w:val="0006052F"/>
    <w:rsid w:val="00080B80"/>
    <w:rsid w:val="000A0545"/>
    <w:rsid w:val="000C1539"/>
    <w:rsid w:val="000F3947"/>
    <w:rsid w:val="000F64D4"/>
    <w:rsid w:val="000F6874"/>
    <w:rsid w:val="00113875"/>
    <w:rsid w:val="001243EE"/>
    <w:rsid w:val="00133720"/>
    <w:rsid w:val="0013735B"/>
    <w:rsid w:val="00141307"/>
    <w:rsid w:val="001449C9"/>
    <w:rsid w:val="00153E3B"/>
    <w:rsid w:val="00176ACE"/>
    <w:rsid w:val="001809FA"/>
    <w:rsid w:val="00192889"/>
    <w:rsid w:val="001A037D"/>
    <w:rsid w:val="001A1EFA"/>
    <w:rsid w:val="001A58F3"/>
    <w:rsid w:val="001B6F5C"/>
    <w:rsid w:val="001C6736"/>
    <w:rsid w:val="001D60E3"/>
    <w:rsid w:val="001E6966"/>
    <w:rsid w:val="001E7FE3"/>
    <w:rsid w:val="001F1DB3"/>
    <w:rsid w:val="002158B5"/>
    <w:rsid w:val="002255A9"/>
    <w:rsid w:val="00231C0D"/>
    <w:rsid w:val="002919D8"/>
    <w:rsid w:val="00297B4D"/>
    <w:rsid w:val="002B0E45"/>
    <w:rsid w:val="002B4347"/>
    <w:rsid w:val="002C482B"/>
    <w:rsid w:val="002D22E6"/>
    <w:rsid w:val="002F5444"/>
    <w:rsid w:val="003037C0"/>
    <w:rsid w:val="00306858"/>
    <w:rsid w:val="003359DF"/>
    <w:rsid w:val="003360B7"/>
    <w:rsid w:val="00340BA8"/>
    <w:rsid w:val="003711B6"/>
    <w:rsid w:val="00381E19"/>
    <w:rsid w:val="003C1B39"/>
    <w:rsid w:val="003F7681"/>
    <w:rsid w:val="004006DC"/>
    <w:rsid w:val="00402D8D"/>
    <w:rsid w:val="00427CB1"/>
    <w:rsid w:val="0043561C"/>
    <w:rsid w:val="004502F9"/>
    <w:rsid w:val="00472DF6"/>
    <w:rsid w:val="00474789"/>
    <w:rsid w:val="004750E0"/>
    <w:rsid w:val="00483489"/>
    <w:rsid w:val="004A5AB2"/>
    <w:rsid w:val="004A61D1"/>
    <w:rsid w:val="004B371D"/>
    <w:rsid w:val="004C2CE2"/>
    <w:rsid w:val="004C5A33"/>
    <w:rsid w:val="004D31FD"/>
    <w:rsid w:val="004D457B"/>
    <w:rsid w:val="004E62E2"/>
    <w:rsid w:val="00504484"/>
    <w:rsid w:val="0052587E"/>
    <w:rsid w:val="00530080"/>
    <w:rsid w:val="00554ABD"/>
    <w:rsid w:val="0055567C"/>
    <w:rsid w:val="00566994"/>
    <w:rsid w:val="00580B2F"/>
    <w:rsid w:val="005814A0"/>
    <w:rsid w:val="005F0562"/>
    <w:rsid w:val="005F1E7A"/>
    <w:rsid w:val="005F68C8"/>
    <w:rsid w:val="00605231"/>
    <w:rsid w:val="00614156"/>
    <w:rsid w:val="00615492"/>
    <w:rsid w:val="006237AB"/>
    <w:rsid w:val="006442AA"/>
    <w:rsid w:val="00651E42"/>
    <w:rsid w:val="006563EC"/>
    <w:rsid w:val="006753C6"/>
    <w:rsid w:val="00690244"/>
    <w:rsid w:val="006B49DF"/>
    <w:rsid w:val="006F0D6A"/>
    <w:rsid w:val="00701618"/>
    <w:rsid w:val="007026B1"/>
    <w:rsid w:val="00711B24"/>
    <w:rsid w:val="0072404C"/>
    <w:rsid w:val="00733F6E"/>
    <w:rsid w:val="007500EF"/>
    <w:rsid w:val="0075327B"/>
    <w:rsid w:val="007549D4"/>
    <w:rsid w:val="00760305"/>
    <w:rsid w:val="00771D35"/>
    <w:rsid w:val="007942A0"/>
    <w:rsid w:val="007A01AA"/>
    <w:rsid w:val="007A309A"/>
    <w:rsid w:val="007C55A7"/>
    <w:rsid w:val="00832F8E"/>
    <w:rsid w:val="00834B95"/>
    <w:rsid w:val="008518C4"/>
    <w:rsid w:val="008612BE"/>
    <w:rsid w:val="00880C82"/>
    <w:rsid w:val="00894AD7"/>
    <w:rsid w:val="008A66DB"/>
    <w:rsid w:val="008D3304"/>
    <w:rsid w:val="008D398E"/>
    <w:rsid w:val="008E3994"/>
    <w:rsid w:val="00922325"/>
    <w:rsid w:val="00947CB2"/>
    <w:rsid w:val="00983709"/>
    <w:rsid w:val="0099795C"/>
    <w:rsid w:val="009A1133"/>
    <w:rsid w:val="009A4E15"/>
    <w:rsid w:val="009B5534"/>
    <w:rsid w:val="009C3A0F"/>
    <w:rsid w:val="009E3190"/>
    <w:rsid w:val="00A00AA9"/>
    <w:rsid w:val="00A233AC"/>
    <w:rsid w:val="00A245ED"/>
    <w:rsid w:val="00A53D5C"/>
    <w:rsid w:val="00A77F8B"/>
    <w:rsid w:val="00A8393D"/>
    <w:rsid w:val="00AA1197"/>
    <w:rsid w:val="00AA5AE9"/>
    <w:rsid w:val="00AB31A5"/>
    <w:rsid w:val="00AC5024"/>
    <w:rsid w:val="00B12501"/>
    <w:rsid w:val="00B17B55"/>
    <w:rsid w:val="00B20CDA"/>
    <w:rsid w:val="00B22566"/>
    <w:rsid w:val="00B25799"/>
    <w:rsid w:val="00B40B58"/>
    <w:rsid w:val="00BA0AD1"/>
    <w:rsid w:val="00BB754D"/>
    <w:rsid w:val="00BC53F0"/>
    <w:rsid w:val="00BD156E"/>
    <w:rsid w:val="00BD6253"/>
    <w:rsid w:val="00C07FD7"/>
    <w:rsid w:val="00C37860"/>
    <w:rsid w:val="00C73AE9"/>
    <w:rsid w:val="00C80FEC"/>
    <w:rsid w:val="00C9324D"/>
    <w:rsid w:val="00CC0CA7"/>
    <w:rsid w:val="00CD55E9"/>
    <w:rsid w:val="00CD6542"/>
    <w:rsid w:val="00CF7C2F"/>
    <w:rsid w:val="00D03088"/>
    <w:rsid w:val="00D060D3"/>
    <w:rsid w:val="00D10B7E"/>
    <w:rsid w:val="00D2703E"/>
    <w:rsid w:val="00D4702C"/>
    <w:rsid w:val="00D5415E"/>
    <w:rsid w:val="00D80057"/>
    <w:rsid w:val="00D8624D"/>
    <w:rsid w:val="00D90D0B"/>
    <w:rsid w:val="00DA22DD"/>
    <w:rsid w:val="00DA24BA"/>
    <w:rsid w:val="00DD6E28"/>
    <w:rsid w:val="00DE7F09"/>
    <w:rsid w:val="00DF13AE"/>
    <w:rsid w:val="00E071EA"/>
    <w:rsid w:val="00E07836"/>
    <w:rsid w:val="00E13FB7"/>
    <w:rsid w:val="00E14154"/>
    <w:rsid w:val="00E41FDF"/>
    <w:rsid w:val="00E426F4"/>
    <w:rsid w:val="00E65474"/>
    <w:rsid w:val="00E66312"/>
    <w:rsid w:val="00E75320"/>
    <w:rsid w:val="00E83EB9"/>
    <w:rsid w:val="00E84B87"/>
    <w:rsid w:val="00E86CD9"/>
    <w:rsid w:val="00E94D66"/>
    <w:rsid w:val="00EC752C"/>
    <w:rsid w:val="00ED12BB"/>
    <w:rsid w:val="00F017E9"/>
    <w:rsid w:val="00F03E64"/>
    <w:rsid w:val="00F12ACD"/>
    <w:rsid w:val="00F36560"/>
    <w:rsid w:val="00F4792B"/>
    <w:rsid w:val="00F63A90"/>
    <w:rsid w:val="00F9300F"/>
    <w:rsid w:val="00FA2479"/>
    <w:rsid w:val="00FA6710"/>
    <w:rsid w:val="00FC7204"/>
    <w:rsid w:val="00FC7C35"/>
    <w:rsid w:val="00FD0800"/>
    <w:rsid w:val="00FF26F0"/>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67C245"/>
  <w15:chartTrackingRefBased/>
  <w15:docId w15:val="{D63C0801-4D85-433E-97B7-8421F8C5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2E2"/>
    <w:pPr>
      <w:tabs>
        <w:tab w:val="left" w:pos="851"/>
      </w:tabs>
    </w:pPr>
    <w:rPr>
      <w:rFonts w:ascii="Arial" w:eastAsia="Times New Roman" w:hAnsi="Arial"/>
      <w:sz w:val="24"/>
      <w:szCs w:val="24"/>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7549D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549D4"/>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7549D4"/>
    <w:pPr>
      <w:spacing w:before="240" w:after="60"/>
      <w:outlineLvl w:val="6"/>
    </w:pPr>
  </w:style>
  <w:style w:type="paragraph" w:styleId="berschrift8">
    <w:name w:val="heading 8"/>
    <w:basedOn w:val="Standard"/>
    <w:next w:val="Standard"/>
    <w:link w:val="berschrift8Zchn"/>
    <w:uiPriority w:val="9"/>
    <w:semiHidden/>
    <w:unhideWhenUsed/>
    <w:qFormat/>
    <w:rsid w:val="007549D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rsid w:val="00FC7C35"/>
    <w:pPr>
      <w:tabs>
        <w:tab w:val="center" w:pos="4536"/>
        <w:tab w:val="right" w:pos="9072"/>
      </w:tabs>
    </w:pPr>
  </w:style>
  <w:style w:type="character" w:customStyle="1" w:styleId="FuzeileZchn">
    <w:name w:val="Fußzeile Zchn"/>
    <w:link w:val="Fuzeile"/>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rsid w:val="00FC7C35"/>
    <w:pPr>
      <w:tabs>
        <w:tab w:val="center" w:pos="4536"/>
        <w:tab w:val="right" w:pos="9072"/>
      </w:tabs>
    </w:pPr>
  </w:style>
  <w:style w:type="character" w:customStyle="1" w:styleId="KopfzeileZchn">
    <w:name w:val="Kopfzeile Zchn"/>
    <w:link w:val="Kopfzeile"/>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hAnsi="Cambri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i/>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b/>
      <w:i/>
      <w:szCs w:val="22"/>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character" w:styleId="Hyperlink">
    <w:name w:val="Hyperlink"/>
    <w:rsid w:val="004E62E2"/>
    <w:rPr>
      <w:color w:val="0000FF"/>
      <w:u w:val="single"/>
    </w:rPr>
  </w:style>
  <w:style w:type="character" w:customStyle="1" w:styleId="BesuchterHyperlink">
    <w:name w:val="BesuchterHyperlink"/>
    <w:uiPriority w:val="99"/>
    <w:semiHidden/>
    <w:unhideWhenUsed/>
    <w:rsid w:val="004D457B"/>
    <w:rPr>
      <w:color w:val="800080"/>
      <w:u w:val="single"/>
    </w:rPr>
  </w:style>
  <w:style w:type="paragraph" w:styleId="Sprechblasentext">
    <w:name w:val="Balloon Text"/>
    <w:basedOn w:val="Standard"/>
    <w:link w:val="SprechblasentextZchn"/>
    <w:uiPriority w:val="99"/>
    <w:semiHidden/>
    <w:unhideWhenUsed/>
    <w:rsid w:val="00A53D5C"/>
    <w:rPr>
      <w:rFonts w:ascii="Segoe UI" w:hAnsi="Segoe UI" w:cs="Segoe UI"/>
      <w:sz w:val="18"/>
      <w:szCs w:val="18"/>
    </w:rPr>
  </w:style>
  <w:style w:type="character" w:customStyle="1" w:styleId="SprechblasentextZchn">
    <w:name w:val="Sprechblasentext Zchn"/>
    <w:link w:val="Sprechblasentext"/>
    <w:uiPriority w:val="99"/>
    <w:semiHidden/>
    <w:rsid w:val="00A53D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Galinski@mwk.bw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DB35-24AA-485C-AD23-912AAE73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6143</CharactersWithSpaces>
  <SharedDoc>false</SharedDoc>
  <HLinks>
    <vt:vector size="6" baseType="variant">
      <vt:variant>
        <vt:i4>5832811</vt:i4>
      </vt:variant>
      <vt:variant>
        <vt:i4>0</vt:i4>
      </vt:variant>
      <vt:variant>
        <vt:i4>0</vt:i4>
      </vt:variant>
      <vt:variant>
        <vt:i4>5</vt:i4>
      </vt:variant>
      <vt:variant>
        <vt:lpwstr>mailto:Barbara.Galinski@mwk.bwl.de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cp:lastModifiedBy>Galinski, Barbara (MWK)</cp:lastModifiedBy>
  <cp:revision>16</cp:revision>
  <cp:lastPrinted>2015-05-27T07:19:00Z</cp:lastPrinted>
  <dcterms:created xsi:type="dcterms:W3CDTF">2022-09-23T09:55:00Z</dcterms:created>
  <dcterms:modified xsi:type="dcterms:W3CDTF">2023-01-30T08:12:00Z</dcterms:modified>
</cp:coreProperties>
</file>